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3246" w14:textId="691401BD" w:rsidR="00FC1457" w:rsidRPr="005D668B" w:rsidRDefault="00FC1457" w:rsidP="00FC1457">
      <w:pPr>
        <w:jc w:val="center"/>
        <w:rPr>
          <w:b/>
          <w:bCs/>
          <w:sz w:val="28"/>
          <w:szCs w:val="28"/>
        </w:rPr>
      </w:pPr>
      <w:r w:rsidRPr="005D668B">
        <w:rPr>
          <w:b/>
          <w:bCs/>
          <w:sz w:val="28"/>
          <w:szCs w:val="28"/>
        </w:rPr>
        <w:t xml:space="preserve">Przedmiotowy </w:t>
      </w:r>
      <w:r w:rsidR="00C638E3" w:rsidRPr="005D668B">
        <w:rPr>
          <w:b/>
          <w:bCs/>
          <w:sz w:val="28"/>
          <w:szCs w:val="28"/>
        </w:rPr>
        <w:t>S</w:t>
      </w:r>
      <w:r w:rsidRPr="005D668B">
        <w:rPr>
          <w:b/>
          <w:bCs/>
          <w:sz w:val="28"/>
          <w:szCs w:val="28"/>
        </w:rPr>
        <w:t xml:space="preserve">ystem </w:t>
      </w:r>
      <w:r w:rsidR="00C638E3" w:rsidRPr="005D668B">
        <w:rPr>
          <w:b/>
          <w:bCs/>
          <w:sz w:val="28"/>
          <w:szCs w:val="28"/>
        </w:rPr>
        <w:t>O</w:t>
      </w:r>
      <w:r w:rsidRPr="005D668B">
        <w:rPr>
          <w:b/>
          <w:bCs/>
          <w:sz w:val="28"/>
          <w:szCs w:val="28"/>
        </w:rPr>
        <w:t xml:space="preserve">ceniania </w:t>
      </w:r>
    </w:p>
    <w:p w14:paraId="038AD4F2" w14:textId="0212B02C" w:rsidR="00FC1457" w:rsidRPr="005D668B" w:rsidRDefault="00FC1457" w:rsidP="00FC1457">
      <w:pPr>
        <w:jc w:val="center"/>
        <w:rPr>
          <w:b/>
          <w:bCs/>
          <w:sz w:val="28"/>
          <w:szCs w:val="28"/>
        </w:rPr>
      </w:pPr>
      <w:r w:rsidRPr="005D668B">
        <w:rPr>
          <w:b/>
          <w:bCs/>
          <w:sz w:val="28"/>
          <w:szCs w:val="28"/>
        </w:rPr>
        <w:t xml:space="preserve">Przyroda klasa IV </w:t>
      </w:r>
    </w:p>
    <w:p w14:paraId="07C2B35E" w14:textId="77777777"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 xml:space="preserve">Szkoła Podstawowa </w:t>
      </w:r>
    </w:p>
    <w:p w14:paraId="318FEE76" w14:textId="21FD26B5"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>im. Tadeusza Kościuszki w Gaszowicach</w:t>
      </w:r>
    </w:p>
    <w:p w14:paraId="79BBEB26" w14:textId="77777777" w:rsidR="00FC1457" w:rsidRDefault="00FC1457" w:rsidP="00FC1457">
      <w:pPr>
        <w:jc w:val="both"/>
        <w:rPr>
          <w:b/>
          <w:bCs/>
        </w:rPr>
      </w:pPr>
    </w:p>
    <w:p w14:paraId="393906D1" w14:textId="77777777" w:rsidR="00FC1457" w:rsidRPr="00C638E3" w:rsidRDefault="00FC1457" w:rsidP="00C638E3"/>
    <w:p w14:paraId="5BC75D0F" w14:textId="77777777"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Nauczyciel na początku roku szkolnego informuje ucznia o:</w:t>
      </w:r>
    </w:p>
    <w:p w14:paraId="0A4A0030" w14:textId="77777777" w:rsidR="00FC1457" w:rsidRPr="00C638E3" w:rsidRDefault="00FC1457" w:rsidP="00C638E3">
      <w:r w:rsidRPr="00C638E3">
        <w:t>a) wymaganiach edukacyjnych</w:t>
      </w:r>
    </w:p>
    <w:p w14:paraId="53F5EEF4" w14:textId="06819406" w:rsidR="00FC1457" w:rsidRPr="00C638E3" w:rsidRDefault="00FC1457" w:rsidP="00C638E3">
      <w:r w:rsidRPr="00C638E3">
        <w:t xml:space="preserve">b) sposobach sprawdzania osiągnięć </w:t>
      </w:r>
    </w:p>
    <w:p w14:paraId="1CDCE55A" w14:textId="77777777" w:rsidR="00FC1457" w:rsidRPr="00C638E3" w:rsidRDefault="00FC1457" w:rsidP="00C638E3">
      <w:r w:rsidRPr="00C638E3">
        <w:t>c) warunkach i trybie uzyskania wyższej niż przewidywana rocznej oceny klasyfikacyjnej.</w:t>
      </w:r>
    </w:p>
    <w:p w14:paraId="02F45BF0" w14:textId="77777777" w:rsidR="00C638E3" w:rsidRDefault="00C638E3" w:rsidP="00C638E3"/>
    <w:p w14:paraId="73A17F57" w14:textId="3B3BDF5A"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Ocenianiu podlega:</w:t>
      </w:r>
    </w:p>
    <w:p w14:paraId="159F132F" w14:textId="77777777" w:rsidR="00FC1457" w:rsidRPr="00C638E3" w:rsidRDefault="00FC1457" w:rsidP="00C638E3">
      <w:r w:rsidRPr="00C638E3">
        <w:t xml:space="preserve"> a) wiedza</w:t>
      </w:r>
    </w:p>
    <w:p w14:paraId="12AFBF2E" w14:textId="77777777" w:rsidR="00FC1457" w:rsidRPr="00C638E3" w:rsidRDefault="00FC1457" w:rsidP="00C638E3">
      <w:r w:rsidRPr="00C638E3">
        <w:t xml:space="preserve"> b) umiejętności</w:t>
      </w:r>
    </w:p>
    <w:p w14:paraId="7B45F7A9" w14:textId="7D8277C5" w:rsidR="00FC1457" w:rsidRPr="00C638E3" w:rsidRDefault="00FC1457" w:rsidP="00C638E3">
      <w:r w:rsidRPr="00C638E3">
        <w:t xml:space="preserve"> c)</w:t>
      </w:r>
      <w:r w:rsidR="00C638E3">
        <w:t xml:space="preserve"> </w:t>
      </w:r>
      <w:r w:rsidRPr="00C638E3">
        <w:t>aktywność na lekcji (np. udział w dyskusji, rozwiązanie zadania, przeprowadzenie   eksperymentu</w:t>
      </w:r>
      <w:r w:rsidR="00C638E3">
        <w:t>)</w:t>
      </w:r>
    </w:p>
    <w:p w14:paraId="463B1830" w14:textId="1139B010" w:rsidR="00FC1457" w:rsidRPr="00C638E3" w:rsidRDefault="00C638E3" w:rsidP="00C638E3">
      <w:r>
        <w:t xml:space="preserve"> </w:t>
      </w:r>
      <w:r w:rsidR="00FC1457" w:rsidRPr="00C638E3">
        <w:t>d) prezentacja przygotowanej samodzielnie pracy (np. praca domowa, prezentacja multimedialna, przygotowany materiał do nowej lekcji).</w:t>
      </w:r>
    </w:p>
    <w:p w14:paraId="641BC4C6" w14:textId="77777777" w:rsidR="00FC1457" w:rsidRPr="00C638E3" w:rsidRDefault="00FC1457" w:rsidP="00C638E3"/>
    <w:p w14:paraId="4523E8ED" w14:textId="77777777" w:rsidR="00C638E3" w:rsidRPr="00C638E3" w:rsidRDefault="00C638E3" w:rsidP="00C638E3">
      <w:pPr>
        <w:pStyle w:val="Akapitzlist"/>
        <w:widowControl/>
        <w:numPr>
          <w:ilvl w:val="0"/>
          <w:numId w:val="4"/>
        </w:numPr>
        <w:suppressAutoHyphens w:val="0"/>
        <w:outlineLvl w:val="0"/>
        <w:rPr>
          <w:rFonts w:eastAsia="Times New Roman" w:cs="Times New Roman"/>
          <w:kern w:val="36"/>
          <w:lang w:eastAsia="pl-PL" w:bidi="ar-SA"/>
        </w:rPr>
      </w:pPr>
      <w:r w:rsidRPr="00C638E3">
        <w:rPr>
          <w:rFonts w:eastAsia="Times New Roman" w:cs="Times New Roman"/>
          <w:color w:val="231F20"/>
          <w:kern w:val="36"/>
          <w:lang w:eastAsia="pl-PL" w:bidi="ar-SA"/>
        </w:rPr>
        <w:t>Formy i zasady bieżącego oceniania</w:t>
      </w:r>
    </w:p>
    <w:p w14:paraId="0DABA0D8" w14:textId="77777777" w:rsidR="00C638E3" w:rsidRPr="00C638E3" w:rsidRDefault="00C638E3" w:rsidP="00C638E3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364"/>
        <w:gridCol w:w="2073"/>
        <w:gridCol w:w="3505"/>
      </w:tblGrid>
      <w:tr w:rsidR="00C638E3" w:rsidRPr="00C638E3" w14:paraId="7E77E5BE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C4642A8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 klasie</w:t>
            </w:r>
          </w:p>
        </w:tc>
      </w:tr>
      <w:tr w:rsidR="00D638F6" w:rsidRPr="00C638E3" w14:paraId="690FEB52" w14:textId="77777777" w:rsidTr="00C638E3">
        <w:trPr>
          <w:trHeight w:val="385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58B5AB80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44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Forma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4C81228B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Zakres treści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11170E8F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68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Częstotliwość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3C96322E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89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Zasady przeprowadzania</w:t>
            </w:r>
          </w:p>
        </w:tc>
      </w:tr>
      <w:tr w:rsidR="00D638F6" w:rsidRPr="00C638E3" w14:paraId="5EB5339E" w14:textId="77777777" w:rsidTr="00C638E3">
        <w:trPr>
          <w:trHeight w:val="1320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2C3961D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Prace klasowe 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4628A89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9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jeden dział obszerny lub dwa mniejsze działy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36985DC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co najmniej dwie prace klasowe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2410577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57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- zapowiadane przynajmniej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tygodniowym wyprzedzeniem</w:t>
            </w:r>
          </w:p>
          <w:p w14:paraId="237B7715" w14:textId="77777777" w:rsidR="00C638E3" w:rsidRPr="00C638E3" w:rsidRDefault="00C638E3" w:rsidP="00C638E3">
            <w:pPr>
              <w:widowControl/>
              <w:suppressAutoHyphens w:val="0"/>
              <w:ind w:left="51" w:right="70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informacja o pracy klasowej zanotowana wcześniej w dzienniku lekcyjnym</w:t>
            </w:r>
          </w:p>
          <w:p w14:paraId="529413BB" w14:textId="77777777" w:rsidR="00C638E3" w:rsidRPr="00C638E3" w:rsidRDefault="00C638E3" w:rsidP="00C638E3">
            <w:pPr>
              <w:widowControl/>
              <w:suppressAutoHyphens w:val="0"/>
              <w:ind w:left="51" w:right="81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pracę klasową poprzedza powtórzenie materiału nauczania</w:t>
            </w:r>
          </w:p>
          <w:p w14:paraId="15C5C221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D638F6" w:rsidRPr="00C638E3" w14:paraId="16B4B46B" w14:textId="77777777" w:rsidTr="00C638E3">
        <w:trPr>
          <w:trHeight w:val="771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88A271D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3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Sprawdziany (do 20 min)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70B60E6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A911778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1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dwa sprawdziany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B3E2E1D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zapowiedziane z tygodniowym wyprzedzeniem</w:t>
            </w:r>
          </w:p>
          <w:p w14:paraId="3B7BC801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C638E3" w:rsidRPr="00C638E3" w14:paraId="437C6DE1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2D7A2F7C" w14:textId="1DDD5985"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</w:t>
            </w:r>
            <w:r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 xml:space="preserve">  </w:t>
            </w: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domu</w:t>
            </w:r>
          </w:p>
        </w:tc>
      </w:tr>
      <w:tr w:rsidR="00D638F6" w:rsidRPr="00C638E3" w14:paraId="6CCEBE2C" w14:textId="77777777" w:rsidTr="00C638E3">
        <w:trPr>
          <w:trHeight w:val="112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79035AB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19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Pisemne prace domowe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267AE4D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28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materiał nauczania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bieżącej lekcji lub przygotowanie</w:t>
            </w:r>
          </w:p>
          <w:p w14:paraId="2E9676E6" w14:textId="77777777" w:rsidR="00C638E3" w:rsidRPr="00C638E3" w:rsidRDefault="00C638E3" w:rsidP="00C638E3">
            <w:pPr>
              <w:widowControl/>
              <w:suppressAutoHyphens w:val="0"/>
              <w:ind w:left="51" w:right="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materiału dotyczącego nowego tematu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D5C0E80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do 4 prac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FA52023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28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zróżnicowane zadania zgodnie z realizowanym materiałem</w:t>
            </w:r>
          </w:p>
        </w:tc>
      </w:tr>
      <w:tr w:rsidR="00D638F6" w:rsidRPr="00C638E3" w14:paraId="61719110" w14:textId="77777777" w:rsidTr="00C638E3">
        <w:trPr>
          <w:trHeight w:val="99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262878F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8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Prowadzenie zeszytu przedmiotowego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8F7503E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lekcje numerujemy, piszemy datę,</w:t>
            </w:r>
          </w:p>
          <w:p w14:paraId="32CE2574" w14:textId="77777777" w:rsidR="00C638E3" w:rsidRPr="00C638E3" w:rsidRDefault="00C638E3" w:rsidP="00C638E3">
            <w:pPr>
              <w:widowControl/>
              <w:suppressAutoHyphens w:val="0"/>
              <w:spacing w:before="5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uzupełniamy brakujące notatki i zadania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97F9F32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kontrola nie mniej niż 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00B02A7" w14:textId="3B88FA77" w:rsidR="00C638E3" w:rsidRPr="00C638E3" w:rsidRDefault="00C638E3" w:rsidP="00C638E3">
            <w:pPr>
              <w:widowControl/>
              <w:suppressAutoHyphens w:val="0"/>
              <w:ind w:right="147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ocenie podlega zarówno poprawność merytoryczna notatek i rozwiązywanych zadań, jak i estetyka oraz systematyczność prowadzenia zeszytu</w:t>
            </w:r>
          </w:p>
        </w:tc>
      </w:tr>
      <w:tr w:rsidR="00D638F6" w:rsidRPr="00C638E3" w14:paraId="085385A9" w14:textId="77777777" w:rsidTr="00C638E3">
        <w:trPr>
          <w:trHeight w:val="150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CD70F31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50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Inne prace domowe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16EB8B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4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  prace badawcze, obserwacje i hodowle </w:t>
            </w:r>
          </w:p>
          <w:p w14:paraId="4FB15697" w14:textId="77777777" w:rsidR="00C638E3" w:rsidRPr="00C638E3" w:rsidRDefault="00C638E3" w:rsidP="00C638E3">
            <w:pPr>
              <w:widowControl/>
              <w:suppressAutoHyphens w:val="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związane</w:t>
            </w:r>
          </w:p>
          <w:p w14:paraId="6153C056" w14:textId="77777777" w:rsidR="00C638E3" w:rsidRPr="00C638E3" w:rsidRDefault="00C638E3" w:rsidP="00C638E3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 z projektami edukacyjnymi</w:t>
            </w:r>
          </w:p>
          <w:p w14:paraId="65068925" w14:textId="77777777" w:rsidR="00C638E3" w:rsidRPr="00C638E3" w:rsidRDefault="00C638E3" w:rsidP="00C638E3">
            <w:pPr>
              <w:widowControl/>
              <w:suppressAutoHyphens w:val="0"/>
              <w:spacing w:before="2"/>
              <w:ind w:left="51" w:right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– wykonywanie plakatów, prezentacji multimedialnych do bieżącego materiału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6C82B7B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838DBC3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przeznaczone do pracy w grupach lub kierowane do uczniów szczególnie zainteresowanych biologią</w:t>
            </w:r>
          </w:p>
        </w:tc>
      </w:tr>
      <w:tr w:rsidR="00C638E3" w:rsidRPr="00C638E3" w14:paraId="09CF4163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073B5241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Odpowiedzi ustne</w:t>
            </w:r>
          </w:p>
        </w:tc>
      </w:tr>
      <w:tr w:rsidR="00D638F6" w:rsidRPr="00C638E3" w14:paraId="5210EB54" w14:textId="77777777" w:rsidTr="00C638E3">
        <w:trPr>
          <w:trHeight w:val="70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F0C2829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35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lastRenderedPageBreak/>
              <w:t>Ustne sprawdzenie wiadomości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06DABC0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A62AC28" w14:textId="77777777"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6735857" w14:textId="77777777"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bez zapowiedzi</w:t>
            </w:r>
          </w:p>
        </w:tc>
      </w:tr>
      <w:tr w:rsidR="00D638F6" w:rsidRPr="00C638E3" w14:paraId="1AC0F138" w14:textId="77777777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E20DAAB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Pytania aktywne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D71B433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E1AFFE4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częstotliwość dowolna,</w:t>
            </w:r>
          </w:p>
          <w:p w14:paraId="3CD78EF1" w14:textId="77777777" w:rsidR="00C638E3" w:rsidRPr="00C638E3" w:rsidRDefault="00C638E3" w:rsidP="00C638E3">
            <w:pPr>
              <w:widowControl/>
              <w:suppressAutoHyphens w:val="0"/>
              <w:spacing w:before="2"/>
              <w:ind w:left="51" w:right="28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predyspozycji uczniów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493877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66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uczniowie sami zgłaszają się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do odpowiedzi lub są wyznaczani przez nauczyciela</w:t>
            </w:r>
          </w:p>
        </w:tc>
      </w:tr>
      <w:tr w:rsidR="00D638F6" w:rsidRPr="00C638E3" w14:paraId="48F034B3" w14:textId="77777777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6F2B706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Referowanie pracy grupy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8645E8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D8B8344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5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metod pracy stosowanych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C3784D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2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należy zwrócić uwagę na to, aby w kolejnym referowaniu wspólnych prac zmieniały się osoby referujące</w:t>
            </w:r>
          </w:p>
        </w:tc>
      </w:tr>
      <w:tr w:rsidR="00D638F6" w:rsidRPr="00C638E3" w14:paraId="41669D43" w14:textId="77777777" w:rsidTr="00C638E3">
        <w:trPr>
          <w:trHeight w:val="96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22295E3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Praca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3DCFDA8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bieżący materiał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FFBE7DB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lub dwie oceny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DFA7D85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66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oceniane są aktywność, zaangażowanie, umiejętność pracy w grupie lub w parach</w:t>
            </w:r>
          </w:p>
          <w:p w14:paraId="1DAE43AA" w14:textId="77777777" w:rsidR="00C638E3" w:rsidRPr="00C638E3" w:rsidRDefault="00C638E3" w:rsidP="00C638E3">
            <w:pPr>
              <w:widowControl/>
              <w:suppressAutoHyphens w:val="0"/>
              <w:ind w:left="51" w:right="9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w ocenianiu można uwzględnić ocenę koleżeńską lub samoocenę</w:t>
            </w:r>
          </w:p>
        </w:tc>
      </w:tr>
    </w:tbl>
    <w:p w14:paraId="2400F3B6" w14:textId="561B9F78" w:rsidR="00FC1457" w:rsidRPr="00C638E3" w:rsidRDefault="00FC1457" w:rsidP="00C638E3">
      <w:pPr>
        <w:rPr>
          <w:rFonts w:cs="Times New Roman"/>
        </w:rPr>
      </w:pPr>
    </w:p>
    <w:p w14:paraId="35F6759E" w14:textId="77777777" w:rsidR="00C638E3" w:rsidRPr="00C638E3" w:rsidRDefault="00C638E3" w:rsidP="00C638E3">
      <w:pPr>
        <w:pStyle w:val="Akapitzlist"/>
        <w:numPr>
          <w:ilvl w:val="0"/>
          <w:numId w:val="4"/>
        </w:numPr>
      </w:pPr>
      <w:r w:rsidRPr="00C638E3">
        <w:t>Pozostałe przedmiotowe zasady oceniania</w:t>
      </w:r>
    </w:p>
    <w:p w14:paraId="7E036376" w14:textId="77777777" w:rsidR="00C638E3" w:rsidRPr="00C638E3" w:rsidRDefault="00C638E3" w:rsidP="00C638E3">
      <w:r w:rsidRPr="00C638E3">
        <w:t>Pisemne prace klasowe są obowiązkowe.</w:t>
      </w:r>
    </w:p>
    <w:p w14:paraId="630BAF95" w14:textId="1A414149" w:rsidR="00C638E3" w:rsidRDefault="00C638E3" w:rsidP="00C638E3">
      <w:r w:rsidRPr="00C638E3">
        <w:t>W przypadku nieobecności uczeń musi napisać pracę klasową w ciągu dwóch tygodni od daty powrotu do szkoły</w:t>
      </w:r>
      <w:r>
        <w:t>, w terminie ustalonym z nauczycielem.</w:t>
      </w:r>
    </w:p>
    <w:p w14:paraId="03F61173" w14:textId="4EEB068A" w:rsidR="00AE67D1" w:rsidRPr="00AE67D1" w:rsidRDefault="00AE67D1" w:rsidP="00AE67D1">
      <w:pPr>
        <w:spacing w:line="244" w:lineRule="auto"/>
        <w:ind w:right="-16"/>
        <w:jc w:val="both"/>
        <w:rPr>
          <w:rFonts w:eastAsia="CentSchbookEU-Normal" w:cs="Times New Roman"/>
          <w:kern w:val="0"/>
          <w:lang w:eastAsia="en-US" w:bidi="ar-SA"/>
        </w:rPr>
      </w:pPr>
      <w:r w:rsidRPr="00AE67D1">
        <w:rPr>
          <w:rFonts w:cs="Times New Roman"/>
        </w:rPr>
        <w:t>Uczeń ma prawo i obowiązek poprawiać ocen</w:t>
      </w:r>
      <w:r w:rsidRPr="00AE67D1">
        <w:rPr>
          <w:rFonts w:cs="Times New Roman"/>
        </w:rPr>
        <w:t>ę</w:t>
      </w:r>
      <w:r w:rsidRPr="00AE67D1">
        <w:rPr>
          <w:rFonts w:cs="Times New Roman"/>
        </w:rPr>
        <w:t xml:space="preserve"> niedostateczn</w:t>
      </w:r>
      <w:r w:rsidRPr="00AE67D1">
        <w:rPr>
          <w:rFonts w:cs="Times New Roman"/>
        </w:rPr>
        <w:t>ą</w:t>
      </w:r>
      <w:r w:rsidRPr="00AE67D1">
        <w:rPr>
          <w:rFonts w:cs="Times New Roman"/>
        </w:rPr>
        <w:t xml:space="preserve"> uzyskan</w:t>
      </w:r>
      <w:r w:rsidRPr="00AE67D1">
        <w:rPr>
          <w:rFonts w:cs="Times New Roman"/>
        </w:rPr>
        <w:t>ą</w:t>
      </w:r>
      <w:r w:rsidRPr="00AE67D1">
        <w:rPr>
          <w:rFonts w:cs="Times New Roman"/>
        </w:rPr>
        <w:t xml:space="preserve"> ze sprawdzianu </w:t>
      </w:r>
      <w:r w:rsidRPr="00AE67D1">
        <w:rPr>
          <w:rFonts w:cs="Times New Roman"/>
        </w:rPr>
        <w:t xml:space="preserve">lub zadania klasowego </w:t>
      </w:r>
      <w:r w:rsidRPr="00AE67D1">
        <w:rPr>
          <w:rFonts w:cs="Times New Roman"/>
        </w:rPr>
        <w:t>w terminie i na warunkach określonych przez nauczyciela. O możliwości poprawy wyższych ocen niż niedostateczne decyduje nauczyciel.</w:t>
      </w:r>
      <w:r>
        <w:rPr>
          <w:rFonts w:cs="Times New Roman"/>
        </w:rPr>
        <w:t xml:space="preserve"> </w:t>
      </w:r>
    </w:p>
    <w:p w14:paraId="64D5292C" w14:textId="77777777" w:rsidR="00D638F6" w:rsidRPr="00AE67D1" w:rsidRDefault="00D638F6" w:rsidP="00C638E3"/>
    <w:p w14:paraId="29F782DD" w14:textId="10FD69EB" w:rsidR="00C638E3" w:rsidRPr="00C638E3" w:rsidRDefault="00C638E3" w:rsidP="005D668B">
      <w:pPr>
        <w:pStyle w:val="Akapitzlist"/>
        <w:numPr>
          <w:ilvl w:val="0"/>
          <w:numId w:val="4"/>
        </w:numPr>
      </w:pPr>
      <w:r w:rsidRPr="00C638E3">
        <w:t>Sprawdziany</w:t>
      </w:r>
    </w:p>
    <w:p w14:paraId="1764277D" w14:textId="77777777" w:rsidR="00C638E3" w:rsidRPr="00C638E3" w:rsidRDefault="00C638E3" w:rsidP="00C638E3">
      <w:r w:rsidRPr="00C638E3">
        <w:t>Nieobecność ucznia na sprawdzianie nie obliguje go do pisemnego zaliczenia danej partii materiału.</w:t>
      </w:r>
    </w:p>
    <w:p w14:paraId="76B0024B" w14:textId="77777777" w:rsidR="00D638F6" w:rsidRDefault="00D638F6" w:rsidP="00C638E3"/>
    <w:p w14:paraId="784B99A8" w14:textId="60995DCA"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Wymagania na poszczególne oceny szkolne z prac pisemnych</w:t>
      </w:r>
    </w:p>
    <w:p w14:paraId="0752CB87" w14:textId="77777777" w:rsidR="00C638E3" w:rsidRPr="00C638E3" w:rsidRDefault="00C638E3" w:rsidP="00C638E3">
      <w:r w:rsidRPr="00C638E3">
        <w:t>Od ucznia wymaga się uzyskania następujących wyników na poszczególne oceny:</w:t>
      </w:r>
    </w:p>
    <w:p w14:paraId="0E56B983" w14:textId="77777777" w:rsidR="00C638E3" w:rsidRPr="00C638E3" w:rsidRDefault="00C638E3" w:rsidP="00C638E3">
      <w:r w:rsidRPr="00C638E3">
        <w:t>100–98% – celujący,</w:t>
      </w:r>
    </w:p>
    <w:p w14:paraId="3017844C" w14:textId="3E6E27E6" w:rsidR="00C638E3" w:rsidRPr="00C638E3" w:rsidRDefault="00C638E3" w:rsidP="00C638E3">
      <w:r w:rsidRPr="00C638E3">
        <w:t>97–9</w:t>
      </w:r>
      <w:r w:rsidR="00D638F6">
        <w:t>1</w:t>
      </w:r>
      <w:r w:rsidRPr="00C638E3">
        <w:t>% – bardzo dobry,</w:t>
      </w:r>
    </w:p>
    <w:p w14:paraId="113B29CF" w14:textId="44888980" w:rsidR="00C638E3" w:rsidRPr="00C638E3" w:rsidRDefault="00C638E3" w:rsidP="00C638E3">
      <w:r w:rsidRPr="00C638E3">
        <w:t>9</w:t>
      </w:r>
      <w:r w:rsidR="00D638F6">
        <w:t>0</w:t>
      </w:r>
      <w:r w:rsidRPr="00C638E3">
        <w:t>–7</w:t>
      </w:r>
      <w:r w:rsidR="00D638F6">
        <w:t>6</w:t>
      </w:r>
      <w:r w:rsidRPr="00C638E3">
        <w:t>% – dobry,</w:t>
      </w:r>
    </w:p>
    <w:p w14:paraId="25BFA7A4" w14:textId="4D6BF57D" w:rsidR="00C638E3" w:rsidRPr="00C638E3" w:rsidRDefault="00C638E3" w:rsidP="00C638E3">
      <w:r w:rsidRPr="00C638E3">
        <w:t>7</w:t>
      </w:r>
      <w:r w:rsidR="00D638F6">
        <w:t>5</w:t>
      </w:r>
      <w:r w:rsidRPr="00C638E3">
        <w:t>–5</w:t>
      </w:r>
      <w:r w:rsidR="00D638F6">
        <w:t>1</w:t>
      </w:r>
      <w:r w:rsidRPr="00C638E3">
        <w:t>% – dostateczny,</w:t>
      </w:r>
    </w:p>
    <w:p w14:paraId="448F1652" w14:textId="5714C51F" w:rsidR="00C638E3" w:rsidRPr="00C638E3" w:rsidRDefault="00D638F6" w:rsidP="00C638E3">
      <w:r>
        <w:t>50</w:t>
      </w:r>
      <w:r w:rsidR="00C638E3" w:rsidRPr="00C638E3">
        <w:t>–31% – dopuszczający,</w:t>
      </w:r>
    </w:p>
    <w:p w14:paraId="4058162A" w14:textId="68A85362" w:rsidR="00C638E3" w:rsidRDefault="00C638E3" w:rsidP="00C638E3">
      <w:r w:rsidRPr="00C638E3">
        <w:t>30–0% – niedostateczny.</w:t>
      </w:r>
    </w:p>
    <w:p w14:paraId="1C93BF5B" w14:textId="77777777" w:rsidR="00D638F6" w:rsidRPr="00C638E3" w:rsidRDefault="00D638F6" w:rsidP="00C638E3"/>
    <w:p w14:paraId="0E5722F3" w14:textId="77777777"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Odpowiedzi ustne</w:t>
      </w:r>
    </w:p>
    <w:p w14:paraId="3FE48803" w14:textId="77777777" w:rsidR="00C638E3" w:rsidRPr="00C638E3" w:rsidRDefault="00C638E3" w:rsidP="00C638E3">
      <w:r w:rsidRPr="00C638E3">
        <w:t>Przy wystawianiu oceny za odpowiedź ustną nauczyciel jest zobowiązany do udzielenia uczniowi informacji zwrotnej.</w:t>
      </w:r>
    </w:p>
    <w:p w14:paraId="126798EA" w14:textId="693F914B" w:rsidR="005D668B" w:rsidRPr="005D668B" w:rsidRDefault="00C638E3" w:rsidP="005D668B">
      <w:r w:rsidRPr="00C638E3">
        <w:t>Uczeń ma prawo być nieprzygotowany do odpowiedzi ustnej bez usprawiedliwienia raz w półroczu. Nieprzygotowanie zgłasza nauczycielowi przed lekcją lub na jej początku</w:t>
      </w:r>
      <w:r w:rsidR="005D668B">
        <w:t>.</w:t>
      </w:r>
      <w:r w:rsidR="005D668B" w:rsidRPr="005D668B">
        <w:t xml:space="preserve"> Przez nieprzygotowanie rozumie się brak zeszytu, zadania domowego oraz nieprzygotowanie do odpowiedzi ustnej. Po wykorzystaniu jednego nieprzygotowania za każde następne uczeń otrzymuje ocenę niedostateczną.</w:t>
      </w:r>
    </w:p>
    <w:p w14:paraId="330867B3" w14:textId="2B61FD4F" w:rsidR="005D668B" w:rsidRPr="005D668B" w:rsidRDefault="005D668B" w:rsidP="005D668B"/>
    <w:p w14:paraId="3D42BCB9" w14:textId="647EFE8A" w:rsidR="00C638E3" w:rsidRPr="00C638E3" w:rsidRDefault="00C638E3" w:rsidP="00C638E3"/>
    <w:p w14:paraId="13A23106" w14:textId="77777777"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Praca na lekcji</w:t>
      </w:r>
    </w:p>
    <w:p w14:paraId="503F6FCC" w14:textId="77777777" w:rsidR="005D668B" w:rsidRPr="005D668B" w:rsidRDefault="005D668B" w:rsidP="005D668B">
      <w:r w:rsidRPr="005D668B">
        <w:t>Nauczyciel ocenia aktywność i zaangażowanie w pracę na lekcji.</w:t>
      </w:r>
    </w:p>
    <w:p w14:paraId="629B015D" w14:textId="77777777" w:rsidR="005D668B" w:rsidRPr="005D668B" w:rsidRDefault="005D668B" w:rsidP="005D668B">
      <w:r w:rsidRPr="005D668B">
        <w:br/>
      </w:r>
    </w:p>
    <w:p w14:paraId="6F9043B2" w14:textId="77777777"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Sprawdzenie i ocenianie sumujące postępy ucznia</w:t>
      </w:r>
    </w:p>
    <w:p w14:paraId="0C81E79F" w14:textId="77777777" w:rsidR="005D668B" w:rsidRPr="005D668B" w:rsidRDefault="005D668B" w:rsidP="005D668B"/>
    <w:p w14:paraId="7934E0D2" w14:textId="77777777" w:rsidR="005D668B" w:rsidRDefault="005D668B" w:rsidP="005D668B">
      <w:r w:rsidRPr="005D668B">
        <w:t xml:space="preserve">         Podsumowaniem edukacyjnych osiągnięć ucznia w danym roku szkolnym są ocena śródroczna i ocena roczna. Ocenę śródroczną i roczną nauczyciel wystawia po uwzględnieniu </w:t>
      </w:r>
      <w:r w:rsidRPr="005D668B">
        <w:lastRenderedPageBreak/>
        <w:t>wszystkich form aktywności ucznia z zastosowaniem średniej arytmetycznej. Średnia arytmetyczna jest tylko wskazówką, podpowiedzią, jednak ostateczną i decydującą ocenę wystawia nauczyciel.</w:t>
      </w:r>
    </w:p>
    <w:p w14:paraId="40E1766D" w14:textId="0E79FEE9" w:rsidR="005D668B" w:rsidRPr="005D668B" w:rsidRDefault="005D668B" w:rsidP="005D668B">
      <w:r w:rsidRPr="005D668B">
        <w:t>        Oceny klasyfikacyjne wystawiane są na podstawie średniej arytmetycznej ocen cząstkowych według następującego schematu:</w:t>
      </w:r>
    </w:p>
    <w:p w14:paraId="2488FF0D" w14:textId="77777777" w:rsidR="005D668B" w:rsidRPr="005D668B" w:rsidRDefault="005D668B" w:rsidP="005D668B"/>
    <w:p w14:paraId="36AD6C31" w14:textId="77777777" w:rsidR="005D668B" w:rsidRPr="005D668B" w:rsidRDefault="005D668B" w:rsidP="005D668B">
      <w:r w:rsidRPr="005D668B">
        <w:t>        5,51 – 6,00 stopień celujący</w:t>
      </w:r>
    </w:p>
    <w:p w14:paraId="361C5ECE" w14:textId="77777777" w:rsidR="005D668B" w:rsidRPr="005D668B" w:rsidRDefault="005D668B" w:rsidP="005D668B">
      <w:r w:rsidRPr="005D668B">
        <w:t>        4,51 – 5,50 stopień bardzo dobry</w:t>
      </w:r>
    </w:p>
    <w:p w14:paraId="796DD7DA" w14:textId="77777777" w:rsidR="005D668B" w:rsidRPr="005D668B" w:rsidRDefault="005D668B" w:rsidP="005D668B">
      <w:r w:rsidRPr="005D668B">
        <w:t>        3,51 – 4,50 stopień dobry</w:t>
      </w:r>
    </w:p>
    <w:p w14:paraId="05FED04B" w14:textId="77777777" w:rsidR="005D668B" w:rsidRPr="005D668B" w:rsidRDefault="005D668B" w:rsidP="005D668B">
      <w:r w:rsidRPr="005D668B">
        <w:t>        2,51 – 3,50 stopień dostateczny</w:t>
      </w:r>
    </w:p>
    <w:p w14:paraId="1B8977BC" w14:textId="77777777" w:rsidR="005D668B" w:rsidRPr="005D668B" w:rsidRDefault="005D668B" w:rsidP="005D668B">
      <w:r w:rsidRPr="005D668B">
        <w:t>        1,51 – 2,50 stopień dopuszczający</w:t>
      </w:r>
    </w:p>
    <w:p w14:paraId="03C31A67" w14:textId="77777777" w:rsidR="005D668B" w:rsidRPr="005D668B" w:rsidRDefault="005D668B" w:rsidP="005D668B">
      <w:r w:rsidRPr="005D668B">
        <w:t>        0,00 – 1,50 stopień niedostateczny</w:t>
      </w:r>
    </w:p>
    <w:p w14:paraId="49566426" w14:textId="77777777" w:rsidR="005D668B" w:rsidRPr="005D668B" w:rsidRDefault="005D668B" w:rsidP="005D668B"/>
    <w:p w14:paraId="1033C323" w14:textId="77777777" w:rsidR="00C638E3" w:rsidRPr="005D668B" w:rsidRDefault="00C638E3" w:rsidP="005D668B"/>
    <w:p w14:paraId="7CC1A35E" w14:textId="2BA5591E" w:rsidR="00C638E3" w:rsidRPr="005D668B" w:rsidRDefault="00C638E3" w:rsidP="005D668B"/>
    <w:p w14:paraId="01589311" w14:textId="3E0EAB5F" w:rsidR="00C638E3" w:rsidRPr="005D668B" w:rsidRDefault="00C638E3" w:rsidP="005D668B"/>
    <w:p w14:paraId="53D13E31" w14:textId="77777777" w:rsidR="00C638E3" w:rsidRPr="005D668B" w:rsidRDefault="00C638E3" w:rsidP="005D668B"/>
    <w:p w14:paraId="6D9BFD56" w14:textId="77777777" w:rsidR="002344B4" w:rsidRPr="005D668B" w:rsidRDefault="002344B4" w:rsidP="005D668B"/>
    <w:sectPr w:rsidR="002344B4" w:rsidRPr="005D668B">
      <w:pgSz w:w="11906" w:h="16838"/>
      <w:pgMar w:top="1134" w:right="1121" w:bottom="1134" w:left="12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572216"/>
    <w:multiLevelType w:val="multilevel"/>
    <w:tmpl w:val="CCFEB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</w:lvl>
    <w:lvl w:ilvl="3" w:tplc="9ACA9F7C">
      <w:numFmt w:val="bullet"/>
      <w:lvlText w:val="•"/>
      <w:lvlJc w:val="left"/>
      <w:pPr>
        <w:ind w:left="2884" w:hanging="256"/>
      </w:pPr>
    </w:lvl>
    <w:lvl w:ilvl="4" w:tplc="D390D59E">
      <w:numFmt w:val="bullet"/>
      <w:lvlText w:val="•"/>
      <w:lvlJc w:val="left"/>
      <w:pPr>
        <w:ind w:left="4027" w:hanging="256"/>
      </w:pPr>
    </w:lvl>
    <w:lvl w:ilvl="5" w:tplc="C254BCDA">
      <w:numFmt w:val="bullet"/>
      <w:lvlText w:val="•"/>
      <w:lvlJc w:val="left"/>
      <w:pPr>
        <w:ind w:left="5169" w:hanging="256"/>
      </w:pPr>
    </w:lvl>
    <w:lvl w:ilvl="6" w:tplc="A5F4EC52">
      <w:numFmt w:val="bullet"/>
      <w:lvlText w:val="•"/>
      <w:lvlJc w:val="left"/>
      <w:pPr>
        <w:ind w:left="6312" w:hanging="256"/>
      </w:pPr>
    </w:lvl>
    <w:lvl w:ilvl="7" w:tplc="C4B27D52">
      <w:numFmt w:val="bullet"/>
      <w:lvlText w:val="•"/>
      <w:lvlJc w:val="left"/>
      <w:pPr>
        <w:ind w:left="7454" w:hanging="256"/>
      </w:pPr>
    </w:lvl>
    <w:lvl w:ilvl="8" w:tplc="247C0F9C">
      <w:numFmt w:val="bullet"/>
      <w:lvlText w:val="•"/>
      <w:lvlJc w:val="left"/>
      <w:pPr>
        <w:ind w:left="8597" w:hanging="256"/>
      </w:pPr>
    </w:lvl>
  </w:abstractNum>
  <w:abstractNum w:abstractNumId="6" w15:restartNumberingAfterBreak="0">
    <w:nsid w:val="53D9790F"/>
    <w:multiLevelType w:val="multilevel"/>
    <w:tmpl w:val="E9E8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C366E"/>
    <w:multiLevelType w:val="hybridMultilevel"/>
    <w:tmpl w:val="093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DA0"/>
    <w:multiLevelType w:val="multilevel"/>
    <w:tmpl w:val="0BA0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7EBF35C2"/>
    <w:multiLevelType w:val="multilevel"/>
    <w:tmpl w:val="0852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4"/>
  </w:num>
  <w:num w:numId="8">
    <w:abstractNumId w:val="4"/>
  </w:num>
  <w:num w:numId="9">
    <w:abstractNumId w:val="10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3"/>
    <w:rsid w:val="001F1DEB"/>
    <w:rsid w:val="002344B4"/>
    <w:rsid w:val="005242F3"/>
    <w:rsid w:val="005D668B"/>
    <w:rsid w:val="00AE67D1"/>
    <w:rsid w:val="00C638E3"/>
    <w:rsid w:val="00D638F6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39C"/>
  <w15:chartTrackingRefBased/>
  <w15:docId w15:val="{C46181AC-D10A-41C1-AA16-8B6C7C4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4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C638E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38E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3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38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38E3"/>
    <w:pPr>
      <w:suppressAutoHyphens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kern w:val="0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38E3"/>
    <w:rPr>
      <w:rFonts w:ascii="CentSchbookEU-Normal" w:eastAsia="CentSchbookEU-Normal" w:hAnsi="CentSchbookEU-Normal" w:cs="CentSchbookEU-Normal"/>
      <w:sz w:val="18"/>
      <w:szCs w:val="18"/>
    </w:rPr>
  </w:style>
  <w:style w:type="paragraph" w:customStyle="1" w:styleId="Standard">
    <w:name w:val="Standard"/>
    <w:rsid w:val="00AE67D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9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mariachowaniec01@outlook.com</dc:creator>
  <cp:keywords/>
  <dc:description/>
  <cp:lastModifiedBy>mariachowaniec01@outlook.com</cp:lastModifiedBy>
  <cp:revision>4</cp:revision>
  <dcterms:created xsi:type="dcterms:W3CDTF">2021-09-05T12:30:00Z</dcterms:created>
  <dcterms:modified xsi:type="dcterms:W3CDTF">2021-09-16T16:51:00Z</dcterms:modified>
</cp:coreProperties>
</file>